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9" w:rsidRPr="00A12639" w:rsidRDefault="00A12639" w:rsidP="00A12639">
      <w:pPr>
        <w:pStyle w:val="a3"/>
        <w:rPr>
          <w:i w:val="0"/>
          <w:lang w:val="ru-RU"/>
        </w:rPr>
      </w:pPr>
      <w:r>
        <w:rPr>
          <w:i w:val="0"/>
        </w:rPr>
        <w:t xml:space="preserve">Звіт </w:t>
      </w:r>
    </w:p>
    <w:p w:rsidR="00A12639" w:rsidRDefault="00A12639" w:rsidP="00A12639">
      <w:pPr>
        <w:pStyle w:val="a3"/>
        <w:rPr>
          <w:i w:val="0"/>
          <w:lang w:val="ru-RU"/>
        </w:rPr>
      </w:pPr>
      <w:r>
        <w:rPr>
          <w:i w:val="0"/>
        </w:rPr>
        <w:t xml:space="preserve">про повторне відстеження </w:t>
      </w:r>
    </w:p>
    <w:p w:rsidR="00A12639" w:rsidRDefault="00A12639" w:rsidP="00A12639">
      <w:pPr>
        <w:pStyle w:val="a3"/>
        <w:rPr>
          <w:b w:val="0"/>
          <w:i w:val="0"/>
        </w:rPr>
      </w:pPr>
      <w:r>
        <w:rPr>
          <w:b w:val="0"/>
          <w:i w:val="0"/>
        </w:rPr>
        <w:t>результативності</w:t>
      </w:r>
    </w:p>
    <w:p w:rsidR="00A12639" w:rsidRDefault="00A12639" w:rsidP="00A12639">
      <w:pPr>
        <w:ind w:firstLine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регуляторного акт</w:t>
      </w:r>
      <w:r w:rsidR="002F0C4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рішення Попаснянської міської ради 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2.2011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шостого скликання від 14.07.2011р. № 13/1 «Про місцеві податки і збори в м.Попасна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12639" w:rsidRDefault="00A12639" w:rsidP="00A12639">
      <w:pPr>
        <w:jc w:val="both"/>
        <w:rPr>
          <w:sz w:val="28"/>
          <w:szCs w:val="28"/>
          <w:lang w:val="uk-UA"/>
        </w:rPr>
      </w:pPr>
    </w:p>
    <w:p w:rsidR="00A12639" w:rsidRDefault="00A12639" w:rsidP="00A1263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відстеження рез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ультативності регуляторного 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рішення двадцят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сесії шостого скликання Попаснянської міської  ради </w:t>
      </w:r>
      <w:r w:rsidR="002319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21.12.2011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2</w:t>
      </w:r>
      <w:r w:rsidR="002319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 w:rsidR="002319E6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2319E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шостого скликання від 14.07.2011р. № 13/1 «Про місцеві податки і збори в м.Попасна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по тексту – Рішення) проведено відділом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A12639" w:rsidRDefault="00A12639" w:rsidP="00A12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C348E">
        <w:rPr>
          <w:rFonts w:ascii="Times New Roman" w:hAnsi="Times New Roman" w:cs="Times New Roman"/>
          <w:b/>
          <w:sz w:val="28"/>
          <w:szCs w:val="28"/>
          <w:lang w:val="uk-UA"/>
        </w:rPr>
        <w:t>ета прийняття регуляторного акту</w:t>
      </w:r>
    </w:p>
    <w:p w:rsidR="00A12639" w:rsidRDefault="00A12639" w:rsidP="00A12639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прийняття регуляторного акт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C348E">
        <w:rPr>
          <w:rFonts w:ascii="Times New Roman" w:hAnsi="Times New Roman" w:cs="Times New Roman"/>
          <w:sz w:val="28"/>
          <w:szCs w:val="28"/>
          <w:lang w:val="uk-UA"/>
        </w:rPr>
        <w:t>безумовне виконання норм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639" w:rsidRDefault="00A12639" w:rsidP="00A12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з відстеження.</w:t>
      </w:r>
    </w:p>
    <w:p w:rsidR="00A12639" w:rsidRDefault="00A12639" w:rsidP="00A126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звітного року: липень 201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5B37CB">
        <w:rPr>
          <w:rFonts w:ascii="Times New Roman" w:hAnsi="Times New Roman" w:cs="Times New Roman"/>
          <w:sz w:val="28"/>
          <w:szCs w:val="28"/>
          <w:lang w:val="uk-UA"/>
        </w:rPr>
        <w:t xml:space="preserve"> липень 2013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639" w:rsidRDefault="00A12639" w:rsidP="00A1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Тип відстеження</w:t>
      </w:r>
    </w:p>
    <w:p w:rsidR="00A12639" w:rsidRDefault="00A12639" w:rsidP="00A1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Повторне.</w:t>
      </w:r>
    </w:p>
    <w:p w:rsidR="00A12639" w:rsidRDefault="00A12639" w:rsidP="00A12639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одержання результатів відстеження</w:t>
      </w:r>
    </w:p>
    <w:p w:rsidR="00A12639" w:rsidRDefault="00A12639" w:rsidP="00A12639">
      <w:pPr>
        <w:pStyle w:val="a5"/>
      </w:pPr>
      <w:r>
        <w:t>Шляхом аналізу даних бухгалтерського обліку виконавчого комітету Попаснянської міської ради.</w:t>
      </w:r>
    </w:p>
    <w:p w:rsidR="00A12639" w:rsidRPr="005B37CB" w:rsidRDefault="00A12639" w:rsidP="00A12639">
      <w:pPr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- </w:t>
      </w:r>
      <w:r w:rsidRPr="005B37C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надходження </w:t>
      </w:r>
      <w:r w:rsidR="005B37CB" w:rsidRPr="005B37C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коштів </w:t>
      </w:r>
      <w:r w:rsidRPr="005B37C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до місцевого бюджету</w:t>
      </w:r>
      <w:r w:rsidR="005B37CB" w:rsidRPr="005B37C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від місцевих податків і зборів</w:t>
      </w:r>
      <w:r w:rsidRPr="005B37C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</w:t>
      </w:r>
    </w:p>
    <w:p w:rsidR="00A12639" w:rsidRDefault="00A12639" w:rsidP="00A12639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даних.</w:t>
      </w:r>
    </w:p>
    <w:p w:rsidR="00A12639" w:rsidRDefault="00A12639" w:rsidP="00A12639">
      <w:pPr>
        <w:pStyle w:val="21"/>
        <w:rPr>
          <w:color w:val="auto"/>
        </w:rPr>
      </w:pPr>
      <w:r>
        <w:rPr>
          <w:color w:val="auto"/>
        </w:rPr>
        <w:t>З метою одержання кількісних та якісних показників результативності регуляторного акт</w:t>
      </w:r>
      <w:r w:rsidR="005B37CB">
        <w:rPr>
          <w:color w:val="auto"/>
        </w:rPr>
        <w:t>у</w:t>
      </w:r>
      <w:r>
        <w:rPr>
          <w:color w:val="auto"/>
        </w:rPr>
        <w:t xml:space="preserve"> </w:t>
      </w:r>
      <w:r>
        <w:rPr>
          <w:color w:val="000000" w:themeColor="text1"/>
        </w:rPr>
        <w:t>відділом житлово-комунального господарства, архітектури, містобудування та землеустрою виконавчого комітету Попаснянської міської ради</w:t>
      </w:r>
      <w:r>
        <w:rPr>
          <w:color w:val="auto"/>
        </w:rPr>
        <w:t xml:space="preserve">  проаналізована інформація бухгалтерського обліку фінансового відділу виконавчого комітету Попаснянської міської ради щодо надходжень до місцевого бюджету від суб’єктів підприємницької діяльності.</w:t>
      </w: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pStyle w:val="21"/>
        <w:rPr>
          <w:color w:val="auto"/>
        </w:rPr>
      </w:pPr>
    </w:p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Кількісні та якісні значення показників результативності акта.</w:t>
      </w:r>
    </w:p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відстеження ефективності даного регуляторного акт</w:t>
      </w:r>
      <w:r w:rsidR="005B37C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 аналіз статистичних 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Попаснянської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станом на 01.07.2013 та встановлено наступне: </w:t>
      </w:r>
    </w:p>
    <w:tbl>
      <w:tblPr>
        <w:tblStyle w:val="a7"/>
        <w:tblW w:w="0" w:type="auto"/>
        <w:tblLook w:val="04A0"/>
      </w:tblPr>
      <w:tblGrid>
        <w:gridCol w:w="566"/>
        <w:gridCol w:w="2666"/>
        <w:gridCol w:w="1583"/>
        <w:gridCol w:w="1583"/>
        <w:gridCol w:w="1606"/>
        <w:gridCol w:w="1567"/>
      </w:tblGrid>
      <w:tr w:rsidR="00A12639" w:rsidTr="004B1D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12639" w:rsidRDefault="00A12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за звітний періоду (01.07.12-01.07.13)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 за звітний періоду (01.07.12-01.07.13)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виконання</w:t>
            </w:r>
          </w:p>
        </w:tc>
      </w:tr>
      <w:tr w:rsidR="00A12639" w:rsidTr="004B1D5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639" w:rsidRDefault="00A12639" w:rsidP="004B1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 коштів до місцевого бюджету</w:t>
            </w:r>
            <w:r w:rsidR="004B1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B1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сплати місцевих податків і зборів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(грн.):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1282396,00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1410789,82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13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226" w:rsidRDefault="00257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128393,82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639" w:rsidRDefault="00A1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A8E" w:rsidRDefault="00257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A8E" w:rsidRDefault="00257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</w:tbl>
    <w:p w:rsidR="00A12639" w:rsidRDefault="00A12639" w:rsidP="00A1263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639" w:rsidRDefault="00A12639" w:rsidP="00A1263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7</w:t>
      </w:r>
      <w:proofErr w:type="spellStart"/>
      <w:r>
        <w:rPr>
          <w:b/>
          <w:sz w:val="28"/>
          <w:szCs w:val="28"/>
          <w:lang w:val="uk-UA"/>
        </w:rPr>
        <w:t>.Оцінка</w:t>
      </w:r>
      <w:proofErr w:type="spellEnd"/>
      <w:r>
        <w:rPr>
          <w:b/>
          <w:sz w:val="28"/>
          <w:szCs w:val="28"/>
          <w:lang w:val="uk-UA"/>
        </w:rPr>
        <w:t xml:space="preserve"> результатів реалізації акта та ступеня досягнення визначених цілей.</w:t>
      </w:r>
    </w:p>
    <w:p w:rsidR="00A12639" w:rsidRDefault="00A12639" w:rsidP="00A12639">
      <w:pPr>
        <w:pStyle w:val="2"/>
        <w:rPr>
          <w:szCs w:val="28"/>
        </w:rPr>
      </w:pPr>
      <w:r>
        <w:rPr>
          <w:szCs w:val="28"/>
        </w:rPr>
        <w:t xml:space="preserve">       Беручи до уваги вищенаведене, можна стверджувати, що діючим регуляторним актом ефективно досягаються та виконуються поставлені цілі,</w:t>
      </w:r>
      <w:r w:rsidR="00C45C56">
        <w:rPr>
          <w:szCs w:val="28"/>
        </w:rPr>
        <w:t xml:space="preserve"> даний регуляторний акт відповідає рівню наповнення місцевого бюджету, що призводить до належного отримання коштів місцевим бюджетом.</w:t>
      </w:r>
      <w:r>
        <w:rPr>
          <w:color w:val="FF0000"/>
          <w:szCs w:val="28"/>
        </w:rPr>
        <w:tab/>
      </w:r>
      <w:r>
        <w:rPr>
          <w:szCs w:val="28"/>
        </w:rPr>
        <w:t xml:space="preserve"> </w:t>
      </w: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4968"/>
        <w:rPr>
          <w:sz w:val="28"/>
          <w:szCs w:val="20"/>
          <w:lang w:val="uk-UA"/>
        </w:rPr>
      </w:pP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4968"/>
        <w:rPr>
          <w:sz w:val="28"/>
          <w:szCs w:val="20"/>
          <w:lang w:val="uk-UA"/>
        </w:rPr>
      </w:pP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4968"/>
        <w:rPr>
          <w:sz w:val="28"/>
          <w:szCs w:val="20"/>
          <w:lang w:val="uk-UA"/>
        </w:rPr>
      </w:pPr>
    </w:p>
    <w:p w:rsidR="00A12639" w:rsidRDefault="00A12639" w:rsidP="00A12639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29" w:right="-1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0"/>
          <w:lang w:val="uk-UA"/>
        </w:rPr>
        <w:t>Заступник міського голови                                          М.М. Табачинський</w:t>
      </w:r>
    </w:p>
    <w:p w:rsidR="00A12639" w:rsidRDefault="00A12639" w:rsidP="00A12639">
      <w:pPr>
        <w:pStyle w:val="1"/>
        <w:ind w:firstLine="0"/>
        <w:rPr>
          <w:color w:val="auto"/>
        </w:rPr>
      </w:pPr>
    </w:p>
    <w:p w:rsidR="00560C2E" w:rsidRPr="00A12639" w:rsidRDefault="00A126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26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5C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1263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45C56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12639">
        <w:rPr>
          <w:rFonts w:ascii="Times New Roman" w:hAnsi="Times New Roman" w:cs="Times New Roman"/>
          <w:sz w:val="28"/>
          <w:szCs w:val="28"/>
          <w:lang w:val="uk-UA"/>
        </w:rPr>
        <w:t>.13</w:t>
      </w:r>
    </w:p>
    <w:sectPr w:rsidR="00560C2E" w:rsidRPr="00A1263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0EA7"/>
    <w:multiLevelType w:val="hybridMultilevel"/>
    <w:tmpl w:val="62BC5C28"/>
    <w:lvl w:ilvl="0" w:tplc="DBBA17E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F705A"/>
    <w:multiLevelType w:val="hybridMultilevel"/>
    <w:tmpl w:val="CBEA864E"/>
    <w:lvl w:ilvl="0" w:tplc="A816086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39"/>
    <w:rsid w:val="000C348E"/>
    <w:rsid w:val="00135226"/>
    <w:rsid w:val="00181483"/>
    <w:rsid w:val="002319E6"/>
    <w:rsid w:val="00257A8E"/>
    <w:rsid w:val="002F0C4F"/>
    <w:rsid w:val="004B1D56"/>
    <w:rsid w:val="00543532"/>
    <w:rsid w:val="00560C2E"/>
    <w:rsid w:val="005B37CB"/>
    <w:rsid w:val="00A12639"/>
    <w:rsid w:val="00BD1BCD"/>
    <w:rsid w:val="00C4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9"/>
  </w:style>
  <w:style w:type="paragraph" w:styleId="1">
    <w:name w:val="heading 1"/>
    <w:basedOn w:val="a"/>
    <w:next w:val="a"/>
    <w:link w:val="10"/>
    <w:qFormat/>
    <w:rsid w:val="00A1263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39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A1263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A12639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1263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126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unhideWhenUsed/>
    <w:rsid w:val="00A12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126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A1263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pacing w:val="4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2639"/>
    <w:rPr>
      <w:rFonts w:ascii="Times New Roman" w:eastAsia="Times New Roman" w:hAnsi="Times New Roman" w:cs="Times New Roman"/>
      <w:color w:val="FF0000"/>
      <w:spacing w:val="4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A1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2013-09-13T11:06:00Z</cp:lastPrinted>
  <dcterms:created xsi:type="dcterms:W3CDTF">2013-07-15T13:03:00Z</dcterms:created>
  <dcterms:modified xsi:type="dcterms:W3CDTF">2013-09-13T11:09:00Z</dcterms:modified>
</cp:coreProperties>
</file>